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3"/>
        </w:rPr>
      </w:pPr>
    </w:p>
    <w:p>
      <w:pPr>
        <w:pStyle w:val="BodyText"/>
        <w:spacing w:line="1054" w:lineRule="exact"/>
        <w:ind w:left="388"/>
      </w:pPr>
      <w:r>
        <w:rPr>
          <w:color w:val="FF0000"/>
          <w:spacing w:val="64"/>
          <w:w w:val="95"/>
        </w:rPr>
        <w:t>徐 州 市 新 冠 肺 炎 疫 情</w:t>
      </w:r>
    </w:p>
    <w:p>
      <w:pPr>
        <w:pStyle w:val="BodyText"/>
        <w:spacing w:before="171"/>
        <w:ind w:left="388"/>
      </w:pPr>
      <w:r>
        <w:rPr>
          <w:color w:val="FF0000"/>
          <w:spacing w:val="-10"/>
          <w:w w:val="90"/>
        </w:rPr>
        <w:t>联 防 联 控 指 挥 部 常 驻 专 班</w:t>
      </w:r>
    </w:p>
    <w:p>
      <w:pPr>
        <w:pStyle w:val="BodyText"/>
        <w:spacing w:before="4"/>
        <w:rPr>
          <w:sz w:val="5"/>
        </w:rPr>
      </w:pPr>
      <w:r>
        <w:rPr/>
        <w:pict>
          <v:group style="position:absolute;margin-left:74.099998pt;margin-top:5.173144pt;width:450.6pt;height:3.6pt;mso-position-horizontal-relative:page;mso-position-vertical-relative:paragraph;z-index:-15728640;mso-wrap-distance-left:0;mso-wrap-distance-right:0" id="docshapegroup1" coordorigin="1482,103" coordsize="9012,72">
            <v:line style="position:absolute" from="1482,125" to="10494,125" stroked="true" strokeweight="2.16pt" strokecolor="#ff0000">
              <v:stroke dashstyle="solid"/>
            </v:line>
            <v:line style="position:absolute" from="1482,168" to="10494,168" stroked="true" strokeweight=".72pt" strokecolor="#ff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spacing w:before="23"/>
        <w:ind w:left="1785" w:right="1733" w:firstLine="0"/>
        <w:jc w:val="center"/>
        <w:rPr>
          <w:rFonts w:ascii="杨任东竹石体-Bold" w:eastAsia="杨任东竹石体-Bold"/>
          <w:b/>
          <w:sz w:val="44"/>
        </w:rPr>
      </w:pPr>
      <w:r>
        <w:rPr>
          <w:rFonts w:ascii="杨任东竹石体-Bold" w:eastAsia="杨任东竹石体-Bold"/>
          <w:b/>
          <w:sz w:val="44"/>
        </w:rPr>
        <w:t>疫情防控工作提醒（</w:t>
      </w:r>
      <w:r>
        <w:rPr>
          <w:rFonts w:ascii="杨任东竹石体-Bold" w:eastAsia="杨任东竹石体-Bold"/>
          <w:b/>
          <w:spacing w:val="1"/>
          <w:sz w:val="44"/>
        </w:rPr>
        <w:t>第 </w:t>
      </w:r>
      <w:r>
        <w:rPr>
          <w:rFonts w:ascii="杨任东竹石体-Bold" w:eastAsia="杨任东竹石体-Bold"/>
          <w:b/>
          <w:sz w:val="44"/>
        </w:rPr>
        <w:t>16</w:t>
      </w:r>
      <w:r>
        <w:rPr>
          <w:rFonts w:ascii="杨任东竹石体-Bold" w:eastAsia="杨任东竹石体-Bold"/>
          <w:b/>
          <w:spacing w:val="-1"/>
          <w:sz w:val="44"/>
        </w:rPr>
        <w:t> 次</w:t>
      </w:r>
      <w:r>
        <w:rPr>
          <w:rFonts w:ascii="杨任东竹石体-Bold" w:eastAsia="杨任东竹石体-Bold"/>
          <w:b/>
          <w:sz w:val="44"/>
        </w:rPr>
        <w:t>）</w:t>
      </w:r>
    </w:p>
    <w:p>
      <w:pPr>
        <w:spacing w:before="335"/>
        <w:ind w:left="1785" w:right="1733" w:firstLine="0"/>
        <w:jc w:val="center"/>
        <w:rPr>
          <w:sz w:val="32"/>
        </w:rPr>
      </w:pPr>
      <w:r>
        <w:rPr>
          <w:w w:val="95"/>
          <w:sz w:val="32"/>
        </w:rPr>
        <w:t>（</w:t>
      </w:r>
      <w:r>
        <w:rPr>
          <w:rFonts w:ascii="Times New Roman" w:eastAsia="Times New Roman"/>
          <w:w w:val="95"/>
          <w:sz w:val="32"/>
        </w:rPr>
        <w:t>2022</w:t>
      </w:r>
      <w:r>
        <w:rPr>
          <w:rFonts w:ascii="Times New Roman" w:eastAsia="Times New Roman"/>
          <w:spacing w:val="23"/>
          <w:w w:val="95"/>
          <w:sz w:val="32"/>
        </w:rPr>
        <w:t> </w:t>
      </w:r>
      <w:r>
        <w:rPr>
          <w:spacing w:val="-27"/>
          <w:w w:val="95"/>
          <w:sz w:val="32"/>
        </w:rPr>
        <w:t>年 </w:t>
      </w:r>
      <w:r>
        <w:rPr>
          <w:rFonts w:ascii="Times New Roman" w:eastAsia="Times New Roman"/>
          <w:w w:val="95"/>
          <w:sz w:val="32"/>
        </w:rPr>
        <w:t>9</w:t>
      </w:r>
      <w:r>
        <w:rPr>
          <w:rFonts w:ascii="Times New Roman" w:eastAsia="Times New Roman"/>
          <w:spacing w:val="23"/>
          <w:w w:val="95"/>
          <w:sz w:val="32"/>
        </w:rPr>
        <w:t> </w:t>
      </w:r>
      <w:r>
        <w:rPr>
          <w:spacing w:val="-26"/>
          <w:w w:val="95"/>
          <w:sz w:val="32"/>
        </w:rPr>
        <w:t>月 </w:t>
      </w:r>
      <w:r>
        <w:rPr>
          <w:rFonts w:ascii="Times New Roman" w:eastAsia="Times New Roman"/>
          <w:w w:val="95"/>
          <w:sz w:val="32"/>
        </w:rPr>
        <w:t>3</w:t>
      </w:r>
      <w:r>
        <w:rPr>
          <w:rFonts w:ascii="Times New Roman" w:eastAsia="Times New Roman"/>
          <w:spacing w:val="23"/>
          <w:w w:val="95"/>
          <w:sz w:val="32"/>
        </w:rPr>
        <w:t> </w:t>
      </w:r>
      <w:r>
        <w:rPr>
          <w:w w:val="95"/>
          <w:sz w:val="32"/>
        </w:rPr>
        <w:t>日）</w:t>
      </w:r>
    </w:p>
    <w:p>
      <w:pPr>
        <w:spacing w:line="240" w:lineRule="auto" w:before="9" w:after="1"/>
        <w:rPr>
          <w:sz w:val="25"/>
        </w:rPr>
      </w:pPr>
    </w:p>
    <w:tbl>
      <w:tblPr>
        <w:tblW w:w="0" w:type="auto"/>
        <w:jc w:val="left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4655"/>
        <w:gridCol w:w="3342"/>
      </w:tblGrid>
      <w:tr>
        <w:trPr>
          <w:trHeight w:val="564" w:hRule="atLeast"/>
        </w:trPr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40" w:val="left" w:leader="none"/>
              </w:tabs>
              <w:spacing w:before="130"/>
              <w:ind w:left="209"/>
              <w:rPr>
                <w:rFonts w:ascii="叶根友微典" w:eastAsia="叶根友微典"/>
                <w:sz w:val="21"/>
              </w:rPr>
            </w:pPr>
            <w:r>
              <w:rPr>
                <w:rFonts w:ascii="叶根友微典" w:eastAsia="叶根友微典"/>
                <w:w w:val="115"/>
                <w:sz w:val="21"/>
              </w:rPr>
              <w:t>类</w:t>
              <w:tab/>
              <w:t>别</w:t>
            </w:r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1646" w:right="1622"/>
              <w:jc w:val="center"/>
              <w:rPr>
                <w:rFonts w:ascii="叶根友微典" w:eastAsia="叶根友微典"/>
                <w:sz w:val="21"/>
              </w:rPr>
            </w:pPr>
            <w:r>
              <w:rPr>
                <w:rFonts w:ascii="叶根友微典" w:eastAsia="叶根友微典"/>
                <w:w w:val="115"/>
                <w:sz w:val="21"/>
              </w:rPr>
              <w:t>管理措施</w:t>
            </w: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57" w:val="left" w:leader="none"/>
              </w:tabs>
              <w:spacing w:before="130"/>
              <w:ind w:left="26"/>
              <w:jc w:val="center"/>
              <w:rPr>
                <w:rFonts w:ascii="叶根友微典" w:eastAsia="叶根友微典"/>
                <w:sz w:val="21"/>
              </w:rPr>
            </w:pPr>
            <w:r>
              <w:rPr>
                <w:rFonts w:ascii="叶根友微典" w:eastAsia="叶根友微典"/>
                <w:w w:val="115"/>
                <w:sz w:val="21"/>
              </w:rPr>
              <w:t>地</w:t>
              <w:tab/>
              <w:t>区</w:t>
            </w:r>
          </w:p>
        </w:tc>
      </w:tr>
      <w:tr>
        <w:trPr>
          <w:trHeight w:val="845" w:hRule="atLeast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auto" w:before="169"/>
              <w:ind w:left="420" w:right="181" w:hanging="212"/>
              <w:rPr>
                <w:rFonts w:ascii="叶根友微典" w:eastAsia="叶根友微典"/>
                <w:sz w:val="21"/>
              </w:rPr>
            </w:pPr>
            <w:r>
              <w:rPr>
                <w:rFonts w:ascii="叶根友微典" w:eastAsia="叶根友微典"/>
                <w:spacing w:val="-34"/>
                <w:w w:val="115"/>
                <w:sz w:val="21"/>
              </w:rPr>
              <w:t>高风险区</w:t>
            </w:r>
            <w:r>
              <w:rPr>
                <w:rFonts w:ascii="叶根友微典" w:eastAsia="叶根友微典"/>
                <w:w w:val="115"/>
                <w:sz w:val="21"/>
              </w:rPr>
              <w:t>人员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0" w:lineRule="exact"/>
              <w:ind w:left="1648" w:right="1622"/>
              <w:jc w:val="center"/>
              <w:rPr>
                <w:rFonts w:ascii="叶根友微典" w:eastAsia="叶根友微典"/>
                <w:sz w:val="21"/>
              </w:rPr>
            </w:pPr>
            <w:r>
              <w:rPr>
                <w:rFonts w:ascii="Times New Roman" w:eastAsia="Times New Roman"/>
                <w:w w:val="110"/>
                <w:sz w:val="21"/>
              </w:rPr>
              <w:t>7</w:t>
            </w:r>
            <w:r>
              <w:rPr>
                <w:rFonts w:ascii="Times New Roman" w:eastAsia="Times New Roman"/>
                <w:spacing w:val="6"/>
                <w:w w:val="110"/>
                <w:sz w:val="21"/>
              </w:rPr>
              <w:t> </w:t>
            </w:r>
            <w:r>
              <w:rPr>
                <w:rFonts w:ascii="叶根友微典" w:eastAsia="叶根友微典"/>
                <w:w w:val="110"/>
                <w:sz w:val="21"/>
              </w:rPr>
              <w:t>天集中隔离</w:t>
            </w:r>
          </w:p>
          <w:p>
            <w:pPr>
              <w:pStyle w:val="TableParagraph"/>
              <w:spacing w:line="257" w:lineRule="exact"/>
              <w:ind w:left="118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w w:val="95"/>
                <w:sz w:val="20"/>
              </w:rPr>
              <w:t>离开风险区域的</w:t>
            </w:r>
            <w:r>
              <w:rPr>
                <w:w w:val="95"/>
                <w:sz w:val="21"/>
              </w:rPr>
              <w:t>第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2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3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5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7</w:t>
            </w:r>
            <w:r>
              <w:rPr>
                <w:rFonts w:ascii="Times New Roman" w:eastAsia="Times New Roman"/>
                <w:spacing w:val="4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天各进行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</w:p>
          <w:p>
            <w:pPr>
              <w:pStyle w:val="TableParagraph"/>
              <w:spacing w:line="247" w:lineRule="exact" w:before="11"/>
              <w:ind w:left="118" w:right="-15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次核酸检测，追踪到的当日须进行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101"/>
                <w:sz w:val="21"/>
              </w:rPr>
              <w:t> </w:t>
            </w:r>
            <w:r>
              <w:rPr>
                <w:w w:val="95"/>
                <w:sz w:val="21"/>
              </w:rPr>
              <w:t>次核酸检测）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见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最新风险等级提醒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</w:p>
        </w:tc>
      </w:tr>
      <w:tr>
        <w:trPr>
          <w:trHeight w:val="840" w:hRule="atLeast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auto" w:before="164"/>
              <w:ind w:left="420" w:right="181" w:hanging="212"/>
              <w:rPr>
                <w:rFonts w:ascii="叶根友微典" w:eastAsia="叶根友微典"/>
                <w:sz w:val="21"/>
              </w:rPr>
            </w:pPr>
            <w:r>
              <w:rPr>
                <w:rFonts w:ascii="叶根友微典" w:eastAsia="叶根友微典"/>
                <w:spacing w:val="-34"/>
                <w:w w:val="115"/>
                <w:sz w:val="21"/>
              </w:rPr>
              <w:t>中风险区</w:t>
            </w:r>
            <w:r>
              <w:rPr>
                <w:rFonts w:ascii="叶根友微典" w:eastAsia="叶根友微典"/>
                <w:w w:val="115"/>
                <w:sz w:val="21"/>
              </w:rPr>
              <w:t>人员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8" w:lineRule="exact"/>
              <w:ind w:left="1648" w:right="1622"/>
              <w:jc w:val="center"/>
              <w:rPr>
                <w:rFonts w:ascii="叶根友微典" w:eastAsia="叶根友微典"/>
                <w:sz w:val="21"/>
              </w:rPr>
            </w:pPr>
            <w:r>
              <w:rPr>
                <w:rFonts w:ascii="Times New Roman" w:eastAsia="Times New Roman"/>
                <w:w w:val="110"/>
                <w:sz w:val="21"/>
              </w:rPr>
              <w:t>7</w:t>
            </w:r>
            <w:r>
              <w:rPr>
                <w:rFonts w:ascii="Times New Roman" w:eastAsia="Times New Roman"/>
                <w:spacing w:val="6"/>
                <w:w w:val="110"/>
                <w:sz w:val="21"/>
              </w:rPr>
              <w:t> </w:t>
            </w:r>
            <w:r>
              <w:rPr>
                <w:rFonts w:ascii="叶根友微典" w:eastAsia="叶根友微典"/>
                <w:w w:val="110"/>
                <w:sz w:val="21"/>
              </w:rPr>
              <w:t>天居家隔离</w:t>
            </w:r>
          </w:p>
          <w:p>
            <w:pPr>
              <w:pStyle w:val="TableParagraph"/>
              <w:spacing w:line="256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w w:val="95"/>
                <w:sz w:val="20"/>
              </w:rPr>
              <w:t>离开风险区域的</w:t>
            </w:r>
            <w:r>
              <w:rPr>
                <w:spacing w:val="-4"/>
                <w:w w:val="95"/>
                <w:sz w:val="21"/>
              </w:rPr>
              <w:t>第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4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7</w:t>
            </w:r>
            <w:r>
              <w:rPr>
                <w:rFonts w:ascii="Times New Roman" w:eastAsia="Times New Roman"/>
                <w:spacing w:val="39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天各进行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3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次核酸</w:t>
            </w:r>
          </w:p>
          <w:p>
            <w:pPr>
              <w:pStyle w:val="TableParagraph"/>
              <w:spacing w:line="245" w:lineRule="exact" w:before="11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检测，追踪到的当日须进行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58"/>
                <w:sz w:val="21"/>
              </w:rPr>
              <w:t> </w:t>
            </w:r>
            <w:r>
              <w:rPr>
                <w:w w:val="95"/>
                <w:sz w:val="21"/>
              </w:rPr>
              <w:t>次核酸检测）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见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最新风险等级提醒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</w:p>
        </w:tc>
      </w:tr>
      <w:tr>
        <w:trPr>
          <w:trHeight w:val="563" w:hRule="atLeast"/>
        </w:trPr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exact"/>
              <w:ind w:left="420" w:right="181" w:hanging="212"/>
              <w:rPr>
                <w:rFonts w:ascii="叶根友微典" w:eastAsia="叶根友微典"/>
                <w:sz w:val="21"/>
              </w:rPr>
            </w:pPr>
            <w:r>
              <w:rPr>
                <w:rFonts w:ascii="叶根友微典" w:eastAsia="叶根友微典"/>
                <w:spacing w:val="-34"/>
                <w:w w:val="115"/>
                <w:sz w:val="21"/>
              </w:rPr>
              <w:t>低风险区</w:t>
            </w:r>
            <w:r>
              <w:rPr>
                <w:rFonts w:ascii="叶根友微典" w:eastAsia="叶根友微典"/>
                <w:w w:val="115"/>
                <w:sz w:val="21"/>
              </w:rPr>
              <w:t>人员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26"/>
              </w:rPr>
            </w:pPr>
          </w:p>
          <w:p>
            <w:pPr>
              <w:pStyle w:val="TableParagraph"/>
              <w:spacing w:line="319" w:lineRule="exact" w:before="1"/>
              <w:ind w:left="1231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Times New Roman"/>
                <w:w w:val="110"/>
                <w:sz w:val="21"/>
              </w:rPr>
              <w:t>“7</w:t>
            </w:r>
            <w:r>
              <w:rPr>
                <w:rFonts w:ascii="Times New Roman" w:hAnsi="Times New Roman" w:eastAsia="Times New Roman"/>
                <w:spacing w:val="-7"/>
                <w:w w:val="110"/>
                <w:sz w:val="21"/>
              </w:rPr>
              <w:t> </w:t>
            </w:r>
            <w:r>
              <w:rPr>
                <w:rFonts w:ascii="叶根友微典" w:hAnsi="叶根友微典" w:eastAsia="叶根友微典"/>
                <w:spacing w:val="-6"/>
                <w:w w:val="110"/>
                <w:sz w:val="21"/>
              </w:rPr>
              <w:t>天 </w:t>
            </w:r>
            <w:r>
              <w:rPr>
                <w:rFonts w:ascii="Times New Roman" w:hAnsi="Times New Roman" w:eastAsia="Times New Roman"/>
                <w:w w:val="110"/>
                <w:sz w:val="21"/>
              </w:rPr>
              <w:t>5</w:t>
            </w:r>
            <w:r>
              <w:rPr>
                <w:rFonts w:ascii="Times New Roman" w:hAnsi="Times New Roman" w:eastAsia="Times New Roman"/>
                <w:spacing w:val="-7"/>
                <w:w w:val="110"/>
                <w:sz w:val="21"/>
              </w:rPr>
              <w:t> </w:t>
            </w:r>
            <w:r>
              <w:rPr>
                <w:rFonts w:ascii="叶根友微典" w:hAnsi="叶根友微典" w:eastAsia="叶根友微典"/>
                <w:w w:val="110"/>
                <w:sz w:val="21"/>
              </w:rPr>
              <w:t>检</w:t>
            </w:r>
            <w:r>
              <w:rPr>
                <w:rFonts w:ascii="Times New Roman" w:hAnsi="Times New Roman" w:eastAsia="Times New Roman"/>
                <w:w w:val="110"/>
                <w:sz w:val="21"/>
              </w:rPr>
              <w:t>”</w:t>
            </w:r>
            <w:r>
              <w:rPr>
                <w:rFonts w:ascii="叶根友微典" w:hAnsi="叶根友微典" w:eastAsia="叶根友微典"/>
                <w:w w:val="110"/>
                <w:sz w:val="21"/>
              </w:rPr>
              <w:t>、</w:t>
            </w:r>
            <w:r>
              <w:rPr>
                <w:rFonts w:ascii="Times New Roman" w:hAnsi="Times New Roman" w:eastAsia="Times New Roman"/>
                <w:w w:val="110"/>
                <w:sz w:val="21"/>
              </w:rPr>
              <w:t>“</w:t>
            </w:r>
            <w:r>
              <w:rPr>
                <w:rFonts w:ascii="叶根友微典" w:hAnsi="叶根友微典" w:eastAsia="叶根友微典"/>
                <w:w w:val="110"/>
                <w:sz w:val="21"/>
              </w:rPr>
              <w:t>四个不得</w:t>
            </w:r>
            <w:r>
              <w:rPr>
                <w:rFonts w:ascii="Times New Roman" w:hAnsi="Times New Roman" w:eastAsia="Times New Roman"/>
                <w:w w:val="110"/>
                <w:sz w:val="21"/>
              </w:rPr>
              <w:t>”</w:t>
            </w:r>
          </w:p>
          <w:p>
            <w:pPr>
              <w:pStyle w:val="TableParagraph"/>
              <w:spacing w:line="257" w:lineRule="exact"/>
              <w:ind w:left="118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0"/>
              </w:rPr>
              <w:t>（离开风险区域的</w:t>
            </w:r>
            <w:r>
              <w:rPr>
                <w:spacing w:val="-2"/>
                <w:w w:val="95"/>
                <w:sz w:val="21"/>
              </w:rPr>
              <w:t>第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2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3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5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7</w:t>
            </w:r>
            <w:r>
              <w:rPr>
                <w:rFonts w:ascii="Times New Roman" w:eastAsia="Times New Roman"/>
                <w:spacing w:val="4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天各进行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</w:p>
          <w:p>
            <w:pPr>
              <w:pStyle w:val="TableParagraph"/>
              <w:spacing w:before="11"/>
              <w:ind w:left="118" w:right="-15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次核酸检测，追踪到的当日须进行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101"/>
                <w:sz w:val="21"/>
              </w:rPr>
              <w:t> </w:t>
            </w:r>
            <w:r>
              <w:rPr>
                <w:w w:val="95"/>
                <w:sz w:val="21"/>
              </w:rPr>
              <w:t>次核酸检测）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106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见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最新风险等级提醒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</w:p>
        </w:tc>
      </w:tr>
      <w:tr>
        <w:trPr>
          <w:trHeight w:val="2510" w:hRule="atLeast"/>
        </w:trPr>
        <w:tc>
          <w:tcPr>
            <w:tcW w:w="126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01" w:lineRule="auto"/>
              <w:ind w:left="209" w:right="102" w:hanging="80"/>
              <w:jc w:val="both"/>
              <w:rPr>
                <w:rFonts w:ascii="叶根友微典" w:eastAsia="叶根友微典"/>
                <w:sz w:val="21"/>
              </w:rPr>
            </w:pPr>
            <w:r>
              <w:rPr>
                <w:rFonts w:ascii="Times New Roman" w:eastAsia="Times New Roman"/>
                <w:w w:val="110"/>
                <w:sz w:val="21"/>
              </w:rPr>
              <w:t>7</w:t>
            </w:r>
            <w:r>
              <w:rPr>
                <w:rFonts w:ascii="Times New Roman" w:eastAsia="Times New Roman"/>
                <w:spacing w:val="9"/>
                <w:w w:val="110"/>
                <w:sz w:val="21"/>
              </w:rPr>
              <w:t> </w:t>
            </w:r>
            <w:r>
              <w:rPr>
                <w:rFonts w:ascii="叶根友微典" w:eastAsia="叶根友微典"/>
                <w:spacing w:val="-34"/>
                <w:w w:val="110"/>
                <w:sz w:val="21"/>
              </w:rPr>
              <w:t>日内有重</w:t>
            </w:r>
            <w:r>
              <w:rPr>
                <w:rFonts w:ascii="叶根友微典" w:eastAsia="叶根友微典"/>
                <w:spacing w:val="-15"/>
                <w:w w:val="115"/>
                <w:sz w:val="21"/>
              </w:rPr>
              <w:t>点地区旅居史人员</w:t>
            </w:r>
          </w:p>
        </w:tc>
        <w:tc>
          <w:tcPr>
            <w:tcW w:w="4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40" w:lineRule="auto" w:before="15" w:after="0"/>
              <w:ind w:left="265" w:right="0" w:hanging="160"/>
              <w:jc w:val="left"/>
              <w:rPr>
                <w:sz w:val="21"/>
              </w:rPr>
            </w:pPr>
            <w:r>
              <w:rPr>
                <w:sz w:val="21"/>
              </w:rPr>
              <w:t>天津市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40" w:lineRule="auto" w:before="12" w:after="0"/>
              <w:ind w:left="265" w:right="0" w:hanging="160"/>
              <w:jc w:val="left"/>
              <w:rPr>
                <w:sz w:val="21"/>
              </w:rPr>
            </w:pPr>
            <w:r>
              <w:rPr>
                <w:sz w:val="21"/>
              </w:rPr>
              <w:t>四川省南充市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40" w:lineRule="auto" w:before="9" w:after="0"/>
              <w:ind w:left="265" w:right="0" w:hanging="160"/>
              <w:jc w:val="left"/>
              <w:rPr>
                <w:sz w:val="21"/>
              </w:rPr>
            </w:pPr>
            <w:r>
              <w:rPr>
                <w:sz w:val="21"/>
              </w:rPr>
              <w:t>河北省石家庄市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40" w:lineRule="auto" w:before="12" w:after="0"/>
              <w:ind w:left="265" w:right="0" w:hanging="160"/>
              <w:jc w:val="left"/>
              <w:rPr>
                <w:sz w:val="21"/>
              </w:rPr>
            </w:pPr>
            <w:r>
              <w:rPr>
                <w:sz w:val="21"/>
              </w:rPr>
              <w:t>陕西省西安市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40" w:lineRule="auto" w:before="11" w:after="0"/>
              <w:ind w:left="265" w:right="0" w:hanging="160"/>
              <w:jc w:val="left"/>
              <w:rPr>
                <w:sz w:val="21"/>
              </w:rPr>
            </w:pPr>
            <w:r>
              <w:rPr>
                <w:sz w:val="21"/>
              </w:rPr>
              <w:t>甘肃省临夏回族自治州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40" w:lineRule="auto" w:before="10" w:after="0"/>
              <w:ind w:left="265" w:right="0" w:hanging="160"/>
              <w:jc w:val="left"/>
              <w:rPr>
                <w:sz w:val="21"/>
              </w:rPr>
            </w:pPr>
            <w:r>
              <w:rPr>
                <w:sz w:val="21"/>
              </w:rPr>
              <w:t>山东省济宁市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49" w:lineRule="auto" w:before="12" w:after="0"/>
              <w:ind w:left="106" w:right="107" w:firstLine="0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新疆维吾尔自治区伊犁哈萨克自</w:t>
            </w:r>
            <w:r>
              <w:rPr>
                <w:sz w:val="21"/>
              </w:rPr>
              <w:t>治州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6" w:val="left" w:leader="none"/>
              </w:tabs>
              <w:spacing w:line="235" w:lineRule="exact" w:before="0" w:after="0"/>
              <w:ind w:left="265" w:right="0" w:hanging="160"/>
              <w:jc w:val="left"/>
              <w:rPr>
                <w:sz w:val="21"/>
              </w:rPr>
            </w:pPr>
            <w:r>
              <w:rPr>
                <w:sz w:val="21"/>
              </w:rPr>
              <w:t>新疆维吾尔自治区乌鲁木齐市</w:t>
            </w:r>
          </w:p>
        </w:tc>
      </w:tr>
      <w:tr>
        <w:trPr>
          <w:trHeight w:val="2539" w:hRule="atLeast"/>
        </w:trPr>
        <w:tc>
          <w:tcPr>
            <w:tcW w:w="126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17"/>
              </w:rPr>
            </w:pPr>
          </w:p>
          <w:p>
            <w:pPr>
              <w:pStyle w:val="TableParagraph"/>
              <w:spacing w:line="318" w:lineRule="exact"/>
              <w:ind w:left="1648" w:right="1622"/>
              <w:jc w:val="center"/>
              <w:rPr>
                <w:rFonts w:ascii="叶根友微典" w:eastAsia="叶根友微典"/>
                <w:sz w:val="21"/>
              </w:rPr>
            </w:pPr>
            <w:r>
              <w:rPr>
                <w:rFonts w:ascii="Times New Roman" w:eastAsia="Times New Roman"/>
                <w:w w:val="110"/>
                <w:sz w:val="21"/>
              </w:rPr>
              <w:t>7</w:t>
            </w:r>
            <w:r>
              <w:rPr>
                <w:rFonts w:ascii="Times New Roman" w:eastAsia="Times New Roman"/>
                <w:spacing w:val="6"/>
                <w:w w:val="110"/>
                <w:sz w:val="21"/>
              </w:rPr>
              <w:t> </w:t>
            </w:r>
            <w:r>
              <w:rPr>
                <w:rFonts w:ascii="叶根友微典" w:eastAsia="叶根友微典"/>
                <w:w w:val="110"/>
                <w:sz w:val="21"/>
              </w:rPr>
              <w:t>天居家隔离</w:t>
            </w:r>
          </w:p>
          <w:p>
            <w:pPr>
              <w:pStyle w:val="TableParagraph"/>
              <w:spacing w:line="256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w w:val="95"/>
                <w:sz w:val="20"/>
              </w:rPr>
              <w:t>离开风险区域的</w:t>
            </w:r>
            <w:r>
              <w:rPr>
                <w:spacing w:val="4"/>
                <w:w w:val="95"/>
                <w:sz w:val="21"/>
              </w:rPr>
              <w:t>第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4</w:t>
            </w:r>
            <w:r>
              <w:rPr>
                <w:w w:val="95"/>
                <w:sz w:val="21"/>
              </w:rPr>
              <w:t>、</w:t>
            </w:r>
            <w:r>
              <w:rPr>
                <w:rFonts w:ascii="Times New Roman" w:eastAsia="Times New Roman"/>
                <w:w w:val="95"/>
                <w:sz w:val="21"/>
              </w:rPr>
              <w:t>7</w:t>
            </w:r>
            <w:r>
              <w:rPr>
                <w:rFonts w:ascii="Times New Roman" w:eastAsia="Times New Roman"/>
                <w:spacing w:val="55"/>
                <w:sz w:val="21"/>
              </w:rPr>
              <w:t> </w:t>
            </w:r>
            <w:r>
              <w:rPr>
                <w:spacing w:val="2"/>
                <w:w w:val="95"/>
                <w:sz w:val="21"/>
              </w:rPr>
              <w:t>天各进行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60"/>
                <w:sz w:val="21"/>
              </w:rPr>
              <w:t> </w:t>
            </w:r>
            <w:r>
              <w:rPr>
                <w:w w:val="95"/>
                <w:sz w:val="21"/>
              </w:rPr>
              <w:t>次核酸</w:t>
            </w:r>
          </w:p>
          <w:p>
            <w:pPr>
              <w:pStyle w:val="TableParagraph"/>
              <w:spacing w:before="12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检测，追踪到的当日须进行 </w:t>
            </w:r>
            <w:r>
              <w:rPr>
                <w:rFonts w:ascii="Times New Roman" w:eastAsia="Times New Roman"/>
                <w:w w:val="95"/>
                <w:sz w:val="21"/>
              </w:rPr>
              <w:t>1</w:t>
            </w:r>
            <w:r>
              <w:rPr>
                <w:rFonts w:ascii="Times New Roman" w:eastAsia="Times New Roman"/>
                <w:spacing w:val="58"/>
                <w:sz w:val="21"/>
              </w:rPr>
              <w:t> </w:t>
            </w:r>
            <w:r>
              <w:rPr>
                <w:w w:val="95"/>
                <w:sz w:val="21"/>
              </w:rPr>
              <w:t>次核酸检测）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85" w:lineRule="exact" w:before="0" w:after="0"/>
              <w:ind w:left="265" w:right="0" w:hanging="160"/>
              <w:jc w:val="left"/>
              <w:rPr>
                <w:rFonts w:ascii="叶根友微典" w:eastAsia="叶根友微典"/>
                <w:sz w:val="21"/>
              </w:rPr>
            </w:pPr>
            <w:r>
              <w:rPr>
                <w:w w:val="105"/>
                <w:sz w:val="21"/>
              </w:rPr>
              <w:t>广东省</w:t>
            </w:r>
            <w:r>
              <w:rPr>
                <w:rFonts w:ascii="叶根友微典" w:eastAsia="叶根友微典"/>
                <w:w w:val="105"/>
                <w:sz w:val="21"/>
              </w:rPr>
              <w:t>深圳市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80" w:lineRule="exact" w:before="0" w:after="0"/>
              <w:ind w:left="265" w:right="0" w:hanging="160"/>
              <w:jc w:val="left"/>
              <w:rPr>
                <w:rFonts w:ascii="叶根友微典" w:eastAsia="叶根友微典"/>
                <w:sz w:val="21"/>
              </w:rPr>
            </w:pPr>
            <w:r>
              <w:rPr>
                <w:w w:val="105"/>
                <w:sz w:val="21"/>
              </w:rPr>
              <w:t>四川省</w:t>
            </w:r>
            <w:r>
              <w:rPr>
                <w:rFonts w:ascii="叶根友微典" w:eastAsia="叶根友微典"/>
                <w:w w:val="105"/>
                <w:sz w:val="21"/>
              </w:rPr>
              <w:t>成都市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80" w:lineRule="exact" w:before="0" w:after="0"/>
              <w:ind w:left="265" w:right="0" w:hanging="160"/>
              <w:jc w:val="left"/>
              <w:rPr>
                <w:rFonts w:ascii="叶根友微典" w:eastAsia="叶根友微典"/>
                <w:sz w:val="21"/>
              </w:rPr>
            </w:pPr>
            <w:r>
              <w:rPr>
                <w:w w:val="105"/>
                <w:sz w:val="21"/>
              </w:rPr>
              <w:t>辽宁省</w:t>
            </w:r>
            <w:r>
              <w:rPr>
                <w:rFonts w:ascii="叶根友微典" w:eastAsia="叶根友微典"/>
                <w:w w:val="105"/>
                <w:sz w:val="21"/>
              </w:rPr>
              <w:t>大连市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81" w:lineRule="exact" w:before="0" w:after="0"/>
              <w:ind w:left="265" w:right="0" w:hanging="160"/>
              <w:jc w:val="left"/>
              <w:rPr>
                <w:rFonts w:ascii="叶根友微典" w:eastAsia="叶根友微典"/>
                <w:sz w:val="21"/>
              </w:rPr>
            </w:pPr>
            <w:r>
              <w:rPr>
                <w:w w:val="105"/>
                <w:sz w:val="21"/>
              </w:rPr>
              <w:t>黑龙江省</w:t>
            </w:r>
            <w:r>
              <w:rPr>
                <w:rFonts w:ascii="叶根友微典" w:eastAsia="叶根友微典"/>
                <w:w w:val="105"/>
                <w:sz w:val="21"/>
              </w:rPr>
              <w:t>大庆市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80" w:lineRule="exact" w:before="0" w:after="0"/>
              <w:ind w:left="265" w:right="0" w:hanging="160"/>
              <w:jc w:val="left"/>
              <w:rPr>
                <w:rFonts w:ascii="叶根友微典" w:eastAsia="叶根友微典"/>
                <w:sz w:val="21"/>
              </w:rPr>
            </w:pPr>
            <w:r>
              <w:rPr>
                <w:w w:val="105"/>
                <w:sz w:val="21"/>
              </w:rPr>
              <w:t>湖北省</w:t>
            </w:r>
            <w:r>
              <w:rPr>
                <w:rFonts w:ascii="叶根友微典" w:eastAsia="叶根友微典"/>
                <w:w w:val="105"/>
                <w:sz w:val="21"/>
              </w:rPr>
              <w:t>武汉市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80" w:lineRule="exact" w:before="0" w:after="0"/>
              <w:ind w:left="265" w:right="0" w:hanging="160"/>
              <w:jc w:val="left"/>
              <w:rPr>
                <w:rFonts w:ascii="叶根友微典" w:eastAsia="叶根友微典"/>
                <w:sz w:val="21"/>
              </w:rPr>
            </w:pPr>
            <w:r>
              <w:rPr>
                <w:w w:val="105"/>
                <w:sz w:val="21"/>
              </w:rPr>
              <w:t>吉林省</w:t>
            </w:r>
            <w:r>
              <w:rPr>
                <w:rFonts w:ascii="叶根友微典" w:eastAsia="叶根友微典"/>
                <w:w w:val="105"/>
                <w:sz w:val="21"/>
              </w:rPr>
              <w:t>长春市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81" w:lineRule="exact" w:before="0" w:after="0"/>
              <w:ind w:left="265" w:right="0" w:hanging="160"/>
              <w:jc w:val="left"/>
              <w:rPr>
                <w:rFonts w:ascii="叶根友微典" w:eastAsia="叶根友微典"/>
                <w:sz w:val="21"/>
              </w:rPr>
            </w:pPr>
            <w:r>
              <w:rPr>
                <w:w w:val="110"/>
                <w:sz w:val="21"/>
              </w:rPr>
              <w:t>重庆市</w:t>
            </w:r>
            <w:r>
              <w:rPr>
                <w:rFonts w:ascii="叶根友微典" w:eastAsia="叶根友微典"/>
                <w:w w:val="110"/>
                <w:sz w:val="21"/>
              </w:rPr>
              <w:t>沙坪坝区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80" w:lineRule="exact" w:before="0" w:after="0"/>
              <w:ind w:left="265" w:right="0" w:hanging="160"/>
              <w:jc w:val="left"/>
              <w:rPr>
                <w:rFonts w:ascii="叶根友微典" w:eastAsia="叶根友微典"/>
                <w:sz w:val="21"/>
              </w:rPr>
            </w:pPr>
            <w:r>
              <w:rPr>
                <w:w w:val="105"/>
                <w:sz w:val="21"/>
              </w:rPr>
              <w:t>河南省</w:t>
            </w:r>
            <w:r>
              <w:rPr>
                <w:rFonts w:ascii="叶根友微典" w:eastAsia="叶根友微典"/>
                <w:w w:val="105"/>
                <w:sz w:val="21"/>
              </w:rPr>
              <w:t>安阳市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66" w:val="left" w:leader="none"/>
              </w:tabs>
              <w:spacing w:line="275" w:lineRule="exact" w:before="0" w:after="0"/>
              <w:ind w:left="265" w:right="0" w:hanging="160"/>
              <w:jc w:val="left"/>
              <w:rPr>
                <w:rFonts w:ascii="叶根友微典" w:eastAsia="叶根友微典"/>
                <w:sz w:val="21"/>
              </w:rPr>
            </w:pPr>
            <w:r>
              <w:rPr>
                <w:w w:val="105"/>
                <w:sz w:val="21"/>
              </w:rPr>
              <w:t>江西省</w:t>
            </w:r>
            <w:r>
              <w:rPr>
                <w:rFonts w:ascii="叶根友微典" w:eastAsia="叶根友微典"/>
                <w:w w:val="105"/>
                <w:sz w:val="21"/>
              </w:rPr>
              <w:t>鹰潭市</w:t>
            </w:r>
          </w:p>
        </w:tc>
      </w:tr>
    </w:tbl>
    <w:sectPr>
      <w:headerReference w:type="default" r:id="rId5"/>
      <w:type w:val="continuous"/>
      <w:pgSz w:w="11910" w:h="16840"/>
      <w:pgMar w:header="0" w:footer="0" w:top="1580" w:bottom="280" w:left="1200" w:right="12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杨任东竹石体-Bold">
    <w:altName w:val="杨任东竹石体-Bold"/>
    <w:charset w:val="86"/>
    <w:family w:val="auto"/>
    <w:pitch w:val="variable"/>
  </w:font>
  <w:font w:name="宋体">
    <w:altName w:val="宋体"/>
    <w:charset w:val="86"/>
    <w:family w:val="auto"/>
    <w:pitch w:val="variable"/>
  </w:font>
  <w:font w:name="叶根友微典">
    <w:altName w:val="叶根友微典"/>
    <w:charset w:val="86"/>
    <w:family w:val="script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  <w:r>
      <w:rPr/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1667446</wp:posOffset>
          </wp:positionH>
          <wp:positionV relativeFrom="page">
            <wp:posOffset>3651822</wp:posOffset>
          </wp:positionV>
          <wp:extent cx="4225416" cy="422541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25416" cy="422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65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565" w:hanging="15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870" w:hanging="15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175" w:hanging="15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480" w:hanging="15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786" w:hanging="15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091" w:hanging="15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396" w:hanging="15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701" w:hanging="159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5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565" w:hanging="15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870" w:hanging="15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175" w:hanging="15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480" w:hanging="15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786" w:hanging="15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091" w:hanging="15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396" w:hanging="15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701" w:hanging="159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杨任东竹石体-Bold" w:hAnsi="杨任东竹石体-Bold" w:eastAsia="杨任东竹石体-Bold" w:cs="杨任东竹石体-Bold"/>
      <w:b/>
      <w:bCs/>
      <w:sz w:val="72"/>
      <w:szCs w:val="72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ind w:left="265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200905</dc:creator>
  <dc:title>徐州市人民政府办公室</dc:title>
  <dcterms:created xsi:type="dcterms:W3CDTF">2022-09-05T02:01:27Z</dcterms:created>
  <dcterms:modified xsi:type="dcterms:W3CDTF">2022-09-05T02:01:27Z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2022-09-05T00:00:00Z</vt:filetime>
  </property>
</Properties>
</file>